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74"/>
        <w:gridCol w:w="8573"/>
        <w:gridCol w:w="708"/>
      </w:tblGrid>
      <w:tr w:rsidR="006F7193" w:rsidRPr="002B5D0D" w:rsidTr="005818C6">
        <w:trPr>
          <w:trHeight w:val="20"/>
          <w:tblHeader/>
        </w:trPr>
        <w:tc>
          <w:tcPr>
            <w:tcW w:w="10206" w:type="dxa"/>
            <w:gridSpan w:val="4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2B5D0D" w:rsidRDefault="002B5D0D" w:rsidP="002B5D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2B5D0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ERAOIL</w:t>
            </w:r>
            <w:r w:rsidRPr="002B5D0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B5D0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Спектрометр RDE-OES для элементного анализа </w:t>
            </w:r>
          </w:p>
        </w:tc>
      </w:tr>
      <w:tr w:rsidR="006F7193" w:rsidRPr="001E5B70" w:rsidTr="005818C6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1E5B70" w:rsidRDefault="0036704F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1E5B70" w:rsidRDefault="0036704F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1E5B70" w:rsidRDefault="0036704F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1E5B70" w:rsidRPr="002B5D0D" w:rsidTr="00884444">
        <w:trPr>
          <w:trHeight w:val="20"/>
        </w:trPr>
        <w:tc>
          <w:tcPr>
            <w:tcW w:w="851" w:type="dxa"/>
            <w:tcBorders>
              <w:top w:val="double" w:sz="2" w:space="0" w:color="auto"/>
              <w:bottom w:val="nil"/>
            </w:tcBorders>
            <w:shd w:val="clear" w:color="auto" w:fill="auto"/>
            <w:noWrap/>
          </w:tcPr>
          <w:p w:rsidR="001E5B70" w:rsidRPr="002B5D0D" w:rsidRDefault="001E5B70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3289-040</w:t>
            </w:r>
          </w:p>
        </w:tc>
        <w:tc>
          <w:tcPr>
            <w:tcW w:w="8647" w:type="dxa"/>
            <w:gridSpan w:val="2"/>
            <w:tcBorders>
              <w:top w:val="double" w:sz="2" w:space="0" w:color="auto"/>
              <w:bottom w:val="nil"/>
            </w:tcBorders>
            <w:shd w:val="clear" w:color="auto" w:fill="auto"/>
          </w:tcPr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0C61233B" wp14:editId="05914CDA">
                  <wp:simplePos x="0" y="0"/>
                  <wp:positionH relativeFrom="column">
                    <wp:posOffset>4306570</wp:posOffset>
                  </wp:positionH>
                  <wp:positionV relativeFrom="paragraph">
                    <wp:posOffset>62230</wp:posOffset>
                  </wp:positionV>
                  <wp:extent cx="1117600" cy="1088390"/>
                  <wp:effectExtent l="0" t="0" r="635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Спектрометр</w:t>
            </w:r>
            <w:r w:rsidR="002B5D0D"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RDE-OES для элементного состава </w:t>
            </w:r>
            <w:r w:rsidR="005818C6">
              <w:rPr>
                <w:rFonts w:cstheme="minorHAnsi"/>
                <w:sz w:val="18"/>
                <w:szCs w:val="18"/>
              </w:rPr>
              <w:t>масел</w:t>
            </w:r>
            <w:r w:rsidR="002B5D0D" w:rsidRPr="002B5D0D">
              <w:rPr>
                <w:rFonts w:cstheme="minorHAnsi"/>
                <w:sz w:val="18"/>
                <w:szCs w:val="18"/>
              </w:rPr>
              <w:t xml:space="preserve"> и топлива</w:t>
            </w: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ERAOIL</w:t>
            </w:r>
          </w:p>
          <w:p w:rsidR="002B5D0D" w:rsidRPr="002B5D0D" w:rsidRDefault="002B5D0D" w:rsidP="002B5D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D0D">
              <w:rPr>
                <w:rFonts w:cstheme="minorHAnsi"/>
                <w:bCs/>
                <w:sz w:val="18"/>
                <w:szCs w:val="18"/>
              </w:rPr>
              <w:t xml:space="preserve">Стандарты: </w:t>
            </w:r>
            <w:r w:rsidRPr="002B5D0D">
              <w:rPr>
                <w:rFonts w:cstheme="minorHAnsi"/>
                <w:sz w:val="18"/>
                <w:szCs w:val="18"/>
              </w:rPr>
              <w:t>ASTM D6595, ASTM D6728</w:t>
            </w:r>
          </w:p>
          <w:p w:rsidR="002B5D0D" w:rsidRPr="002B5D0D" w:rsidRDefault="002B5D0D" w:rsidP="002B5D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D0D">
              <w:rPr>
                <w:rFonts w:cstheme="minorHAnsi"/>
                <w:sz w:val="18"/>
                <w:szCs w:val="18"/>
              </w:rPr>
              <w:t>Великолепная корреляция стандартам: ICP-AES и ASTM D5185</w:t>
            </w:r>
          </w:p>
          <w:p w:rsidR="001E5B70" w:rsidRPr="002B5D0D" w:rsidRDefault="001E5B70" w:rsidP="002B5D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ERAOIL - это автономный спектрометр с вращающимся дисковым электродом, анализирующий изнашиваемые металлы, присадки и загрязняющие вещества во всех видах рабочих жидкостей, таких как смазочные масла, топливо, охлаждающие жидкости, техническая вода и т.д.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- Автономный спектрометр с вращающимся дисковым электродом (190 - 810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нм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Термостабилизированный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монтаж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Пашена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-Рунге с КМОП-детекторами;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Полностью соответствует стандартам ASTM D6595 и ASTM D6728;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Отличная корреляция с ASTM D5185 (ICP-AES);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Одновременное измерение до 32 элементов за 30 секунд.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Объем пробы: 2 мл;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Для работы не требуются растворители, реагенты или газы;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Встроенная точилка для электродов и система вентиляции;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Очистка стекла объектива не требуется;</w:t>
            </w:r>
          </w:p>
          <w:p w:rsidR="001E5B70" w:rsidRPr="002B5D0D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Заводская калибровка для 26 элементов (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Ag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Al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B,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Ba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Be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Ca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Cd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Cr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Cu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Fe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In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K,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Li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Mg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Mn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Mo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Na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Ni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P,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Pb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Sb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Si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Sn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Ti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V, </w:t>
            </w:r>
            <w:proofErr w:type="spellStart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Zn</w:t>
            </w:r>
            <w:proofErr w:type="spellEnd"/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);</w:t>
            </w:r>
          </w:p>
          <w:p w:rsidR="001E5B70" w:rsidRPr="002B5D0D" w:rsidRDefault="001E5B70" w:rsidP="002B5D0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- Доступны дополнительные калибровки (до 32 элементов)</w:t>
            </w:r>
            <w:r w:rsid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: </w:t>
            </w:r>
            <w:r w:rsidR="002B5D0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  <w:t>As</w:t>
            </w:r>
            <w:r w:rsidR="002B5D0D"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r w:rsidR="002B5D0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  <w:t>Bi</w:t>
            </w:r>
            <w:r w:rsidR="002B5D0D"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r w:rsidR="002B5D0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  <w:t>Ce</w:t>
            </w:r>
            <w:r w:rsidR="002B5D0D"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r w:rsidR="002B5D0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  <w:t>Co</w:t>
            </w:r>
            <w:r w:rsidR="002B5D0D"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2B5D0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/>
              </w:rPr>
              <w:t>Sr</w:t>
            </w:r>
            <w:proofErr w:type="spellEnd"/>
            <w:r w:rsidR="002B5D0D" w:rsidRPr="002B5D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r w:rsidR="002B5D0D">
              <w:rPr>
                <w:rFonts w:cstheme="minorHAnsi"/>
                <w:sz w:val="18"/>
                <w:szCs w:val="18"/>
                <w:lang w:val="en-US"/>
              </w:rPr>
              <w:t>W</w:t>
            </w:r>
            <w:r w:rsidR="002B5D0D" w:rsidRPr="002B5D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2B5D0D">
              <w:rPr>
                <w:rFonts w:cstheme="minorHAnsi"/>
                <w:sz w:val="18"/>
                <w:szCs w:val="18"/>
                <w:lang w:val="en-US"/>
              </w:rPr>
              <w:t>Zr</w:t>
            </w:r>
            <w:proofErr w:type="spellEnd"/>
          </w:p>
        </w:tc>
        <w:tc>
          <w:tcPr>
            <w:tcW w:w="708" w:type="dxa"/>
            <w:tcBorders>
              <w:top w:val="double" w:sz="2" w:space="0" w:color="auto"/>
              <w:bottom w:val="nil"/>
            </w:tcBorders>
            <w:shd w:val="clear" w:color="auto" w:fill="auto"/>
            <w:noWrap/>
          </w:tcPr>
          <w:p w:rsidR="001E5B70" w:rsidRPr="002B5D0D" w:rsidRDefault="001E5B70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E5B70" w:rsidRPr="001E5B70" w:rsidTr="00884444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1E5B70" w:rsidRPr="001E5B70" w:rsidRDefault="001E5B70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  <w:shd w:val="clear" w:color="auto" w:fill="auto"/>
          </w:tcPr>
          <w:p w:rsidR="001E5B70" w:rsidRPr="001E5B70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Общие технические характеристики:</w:t>
            </w:r>
          </w:p>
          <w:p w:rsidR="001E5B70" w:rsidRPr="001E5B70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Встроенный проверенный в отрасли 10-дюймовый цветной сенсорный экран;</w:t>
            </w:r>
          </w:p>
          <w:p w:rsidR="001E5B70" w:rsidRPr="001E5B70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 Встроенный ПК;</w:t>
            </w:r>
          </w:p>
          <w:p w:rsidR="001E5B70" w:rsidRPr="001E5B70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 Р</w:t>
            </w: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азмеры (</w:t>
            </w:r>
            <w:proofErr w:type="spellStart"/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ШхДхВ</w:t>
            </w:r>
            <w:proofErr w:type="spellEnd"/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): 360х660х690 мм;</w:t>
            </w:r>
          </w:p>
          <w:p w:rsidR="001E5B70" w:rsidRPr="001E5B70" w:rsidRDefault="001E5B70" w:rsidP="0088444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 Вес: 85 кг;</w:t>
            </w:r>
          </w:p>
          <w:p w:rsidR="001E5B70" w:rsidRPr="001E5B70" w:rsidRDefault="001E5B70" w:rsidP="008844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4) Потребляемая мощность: 90-270В переменного тока - 16А - 1 кВт; 50/60 Гц, 500 Вт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</w:tcPr>
          <w:p w:rsidR="001E5B70" w:rsidRPr="001E5B70" w:rsidRDefault="001E5B70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E5B70" w:rsidRPr="001E5B70" w:rsidTr="00884444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E5B70" w:rsidRPr="001E5B70" w:rsidRDefault="001E5B70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5B70" w:rsidRPr="001E5B70" w:rsidRDefault="001E5B70" w:rsidP="008844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Все аксессуары и расходные материалы, необходимые для проведения 1000 измерений, включены в комплект поставки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E5B70" w:rsidRPr="001E5B70" w:rsidRDefault="001E5B70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1E5B70" w:rsidTr="00884444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1E5B70" w:rsidRDefault="007F7AFB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1E5B70" w:rsidTr="00884444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1E5B70" w:rsidRDefault="007F7AFB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1E5B7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Комплект поставки </w:t>
            </w:r>
            <w:r w:rsidR="00C762CD" w:rsidRPr="001E5B7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ERASPEC</w:t>
            </w:r>
            <w:r w:rsidRPr="001E5B7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-047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Графитовые диски (50 шт.) – 20 комплектов</w:t>
            </w:r>
          </w:p>
        </w:tc>
      </w:tr>
      <w:tr w:rsidR="005818C6" w:rsidRPr="002B5D0D" w:rsidTr="00472C59">
        <w:trPr>
          <w:trHeight w:val="20"/>
          <w:tblHeader/>
        </w:trPr>
        <w:tc>
          <w:tcPr>
            <w:tcW w:w="10206" w:type="dxa"/>
            <w:gridSpan w:val="4"/>
            <w:tcBorders>
              <w:top w:val="double" w:sz="2" w:space="0" w:color="auto"/>
            </w:tcBorders>
            <w:shd w:val="clear" w:color="auto" w:fill="auto"/>
            <w:noWrap/>
          </w:tcPr>
          <w:p w:rsidR="005818C6" w:rsidRPr="002B5D0D" w:rsidRDefault="005818C6" w:rsidP="005818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2B5D0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ERAOIL Спектрометр RDE-OES для элементного анализа </w:t>
            </w:r>
          </w:p>
        </w:tc>
      </w:tr>
      <w:tr w:rsidR="005818C6" w:rsidRPr="001E5B70" w:rsidTr="00472C59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5818C6" w:rsidRPr="001E5B70" w:rsidRDefault="005818C6" w:rsidP="005818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5818C6" w:rsidRPr="001E5B70" w:rsidRDefault="005818C6" w:rsidP="005818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5818C6" w:rsidRPr="001E5B70" w:rsidRDefault="005818C6" w:rsidP="005818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1E5B7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3289-048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Графитовые электроды (100 шт.)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3289-049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Стаканчики для образцов (2 мл, 1000 </w:t>
            </w:r>
            <w:proofErr w:type="spellStart"/>
            <w:proofErr w:type="gramStart"/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шт</w:t>
            </w:r>
            <w:proofErr w:type="spellEnd"/>
            <w:proofErr w:type="gramEnd"/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3289-050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Одноразовые пипетки (500 шт.)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2 комплекта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3289-051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Плоскогубцы для снятия электрода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Кабель питания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3289-052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Режущие лезвия для заточки электродов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3289-053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Фокусирующая линза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3289-055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Сертификат испытаний для ERAOIL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3289-056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Краткое изложение руководства по эксплуатации, краткая версия на 1 странице и IQT для ERAOIL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3289-057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Руководство по эксплуатации (в виде PDF файла на USB носителе) для ERAOIL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3289-059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Крышка держателя чашки для образцов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3289-060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Инструмент для проверки расстояния между электродами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3289-061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Дренажный поддон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3289-062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Защитные перчатки (1 упаковка)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3289-063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Папиросная бумага (1 упаковка)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3289-066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Масло для холостого измерения для ERAOIL</w:t>
            </w:r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3289-068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Эталонный стандарт 100 </w:t>
            </w:r>
            <w:proofErr w:type="spellStart"/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ppm</w:t>
            </w:r>
            <w:proofErr w:type="spellEnd"/>
          </w:p>
        </w:tc>
      </w:tr>
      <w:tr w:rsidR="00884444" w:rsidRPr="001E5B70" w:rsidTr="00472C59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3289-069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Эталонный стандарт 900 </w:t>
            </w:r>
            <w:proofErr w:type="spellStart"/>
            <w:r w:rsidRPr="001E5B70">
              <w:rPr>
                <w:rFonts w:asciiTheme="minorHAnsi" w:eastAsia="Times New Roman" w:hAnsiTheme="minorHAnsi" w:cstheme="minorHAnsi"/>
                <w:sz w:val="18"/>
                <w:szCs w:val="18"/>
              </w:rPr>
              <w:t>ppm</w:t>
            </w:r>
            <w:proofErr w:type="spellEnd"/>
          </w:p>
        </w:tc>
      </w:tr>
      <w:tr w:rsidR="00884444" w:rsidRPr="001E5B70" w:rsidTr="00CE3EAC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1E5B70" w:rsidTr="00884444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C762CD" w:rsidRPr="001E5B70" w:rsidRDefault="00C762CD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1E5B70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принадлежности:</w:t>
            </w:r>
          </w:p>
        </w:tc>
      </w:tr>
      <w:tr w:rsidR="00884444" w:rsidRPr="001E5B70" w:rsidTr="00C06120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884444" w:rsidRPr="00884444" w:rsidRDefault="00884444" w:rsidP="00884444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3289-066</w:t>
            </w:r>
          </w:p>
        </w:tc>
        <w:tc>
          <w:tcPr>
            <w:tcW w:w="8573" w:type="dxa"/>
            <w:shd w:val="clear" w:color="auto" w:fill="auto"/>
          </w:tcPr>
          <w:p w:rsidR="00884444" w:rsidRPr="00884444" w:rsidRDefault="00884444" w:rsidP="00472C5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84444">
              <w:rPr>
                <w:rFonts w:eastAsia="Times New Roman" w:cstheme="minorHAnsi"/>
                <w:sz w:val="18"/>
                <w:szCs w:val="18"/>
              </w:rPr>
              <w:t>Масло для холостого измерения для ERAOIL (бутылка 500 мл)</w:t>
            </w:r>
          </w:p>
        </w:tc>
        <w:tc>
          <w:tcPr>
            <w:tcW w:w="708" w:type="dxa"/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84444" w:rsidRPr="001E5B70" w:rsidTr="00884444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884444" w:rsidRPr="00884444" w:rsidRDefault="00884444" w:rsidP="00884444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84444">
              <w:rPr>
                <w:rFonts w:eastAsia="Times New Roman" w:cstheme="minorHAnsi"/>
                <w:sz w:val="18"/>
                <w:szCs w:val="18"/>
              </w:rPr>
              <w:t>A160-102</w:t>
            </w:r>
          </w:p>
        </w:tc>
        <w:tc>
          <w:tcPr>
            <w:tcW w:w="8573" w:type="dxa"/>
            <w:shd w:val="clear" w:color="auto" w:fill="auto"/>
          </w:tcPr>
          <w:p w:rsidR="00884444" w:rsidRPr="00884444" w:rsidRDefault="00884444" w:rsidP="00472C5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884444">
              <w:rPr>
                <w:rFonts w:eastAsia="Times New Roman" w:cstheme="minorHAnsi"/>
                <w:sz w:val="18"/>
                <w:szCs w:val="18"/>
              </w:rPr>
              <w:t>ГСО 10066-2012 СМН-ПА(</w:t>
            </w:r>
            <w:proofErr w:type="spellStart"/>
            <w:r w:rsidRPr="00884444">
              <w:rPr>
                <w:rFonts w:eastAsia="Times New Roman" w:cstheme="minorHAnsi"/>
                <w:sz w:val="18"/>
                <w:szCs w:val="18"/>
              </w:rPr>
              <w:t>Fe</w:t>
            </w:r>
            <w:proofErr w:type="spellEnd"/>
            <w:r w:rsidRPr="00884444">
              <w:rPr>
                <w:rFonts w:eastAsia="Times New Roman" w:cstheme="minorHAnsi"/>
                <w:sz w:val="18"/>
                <w:szCs w:val="18"/>
              </w:rPr>
              <w:t>/Б) - 0, 10, 20, 50, 100 мг/</w:t>
            </w:r>
            <w:proofErr w:type="spellStart"/>
            <w:r w:rsidRPr="00884444">
              <w:rPr>
                <w:rFonts w:eastAsia="Times New Roman" w:cstheme="minorHAnsi"/>
                <w:sz w:val="18"/>
                <w:szCs w:val="18"/>
              </w:rPr>
              <w:t>дм</w:t>
            </w:r>
            <w:proofErr w:type="spellEnd"/>
            <w:r w:rsidRPr="00884444">
              <w:rPr>
                <w:rFonts w:eastAsia="Times New Roman" w:cstheme="minorHAnsi"/>
                <w:sz w:val="18"/>
                <w:szCs w:val="18"/>
              </w:rPr>
              <w:t>, 5х50мл, комплект</w:t>
            </w:r>
          </w:p>
        </w:tc>
        <w:tc>
          <w:tcPr>
            <w:tcW w:w="708" w:type="dxa"/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84444" w:rsidRPr="001E5B70" w:rsidTr="00472C59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884444" w:rsidRPr="001E5B70" w:rsidRDefault="00884444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84444" w:rsidRPr="005818C6" w:rsidTr="00993F0C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884444" w:rsidRPr="005818C6" w:rsidRDefault="002B5D0D" w:rsidP="0088444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5818C6">
              <w:rPr>
                <w:rFonts w:eastAsia="Times New Roman" w:cstheme="minorHAnsi"/>
                <w:i/>
                <w:sz w:val="18"/>
                <w:szCs w:val="18"/>
              </w:rPr>
              <w:t>Пусконаладочные работы, инструктаж персонала и гарантийное обслуживание в течение 12 месяцев, полный комплект инструкций по эксплуатации на русском языке</w:t>
            </w:r>
            <w:r w:rsidR="005818C6">
              <w:rPr>
                <w:rFonts w:eastAsia="Times New Roman" w:cstheme="minorHAnsi"/>
                <w:i/>
                <w:sz w:val="18"/>
                <w:szCs w:val="18"/>
              </w:rPr>
              <w:t xml:space="preserve"> входят в комплект</w:t>
            </w:r>
            <w:bookmarkStart w:id="0" w:name="_GoBack"/>
            <w:bookmarkEnd w:id="0"/>
          </w:p>
        </w:tc>
      </w:tr>
    </w:tbl>
    <w:p w:rsidR="00884444" w:rsidRDefault="00884444">
      <w:pPr>
        <w:spacing w:after="0"/>
      </w:pPr>
    </w:p>
    <w:p w:rsidR="00F86953" w:rsidRDefault="00884444">
      <w:pPr>
        <w:spacing w:after="0"/>
      </w:pPr>
      <w:r>
        <w:br w:type="textWrapping" w:clear="all"/>
      </w: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sectPr w:rsidR="00441757" w:rsidSect="00A62442">
      <w:headerReference w:type="default" r:id="rId10"/>
      <w:footerReference w:type="default" r:id="rId11"/>
      <w:pgSz w:w="16834" w:h="11904" w:orient="landscape"/>
      <w:pgMar w:top="1134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1E5B70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1E5B70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1E5B70" w:rsidRPr="001E5B70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OIL</w:t>
    </w:r>
    <w:r w:rsidR="001E5B70" w:rsidRPr="001E5B70">
      <w:rPr>
        <w:rFonts w:asciiTheme="minorHAnsi" w:eastAsia="Times New Roman" w:hAnsiTheme="minorHAnsi" w:cstheme="minorHAnsi"/>
        <w:color w:val="auto"/>
        <w:sz w:val="16"/>
        <w:szCs w:val="16"/>
      </w:rPr>
      <w:t xml:space="preserve"> </w:t>
    </w:r>
    <w:r w:rsidR="001E5B70" w:rsidRPr="001E5B70">
      <w:rPr>
        <w:rFonts w:eastAsia="Times New Roman" w:cstheme="minorHAnsi"/>
        <w:bCs/>
        <w:sz w:val="16"/>
        <w:szCs w:val="16"/>
      </w:rPr>
      <w:t>Спектрометр RDE-OES для элементного анализа</w:t>
    </w:r>
    <w:r w:rsidR="005818C6">
      <w:rPr>
        <w:rFonts w:eastAsia="Times New Roman" w:cstheme="minorHAnsi"/>
        <w:bCs/>
        <w:sz w:val="16"/>
        <w:szCs w:val="16"/>
      </w:rPr>
      <w:t xml:space="preserve"> масел и топлива</w:t>
    </w:r>
    <w:proofErr w:type="gramStart"/>
    <w:r w:rsidR="001F3AF3" w:rsidRPr="001E5B70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1E5B70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1E5B70">
      <w:rPr>
        <w:rFonts w:asciiTheme="minorHAnsi" w:hAnsiTheme="minorHAnsi" w:cstheme="minorHAnsi"/>
        <w:sz w:val="16"/>
        <w:szCs w:val="16"/>
      </w:rPr>
      <w:fldChar w:fldCharType="begin"/>
    </w:r>
    <w:r w:rsidR="001F3AF3" w:rsidRPr="001E5B7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1E5B70">
      <w:rPr>
        <w:rFonts w:asciiTheme="minorHAnsi" w:hAnsiTheme="minorHAnsi" w:cstheme="minorHAnsi"/>
        <w:sz w:val="16"/>
        <w:szCs w:val="16"/>
      </w:rPr>
      <w:fldChar w:fldCharType="separate"/>
    </w:r>
    <w:r w:rsidR="005818C6">
      <w:rPr>
        <w:rFonts w:asciiTheme="minorHAnsi" w:hAnsiTheme="minorHAnsi" w:cstheme="minorHAnsi"/>
        <w:noProof/>
        <w:sz w:val="16"/>
        <w:szCs w:val="16"/>
      </w:rPr>
      <w:t>1</w:t>
    </w:r>
    <w:r w:rsidR="001F3AF3" w:rsidRPr="001E5B70">
      <w:rPr>
        <w:rFonts w:asciiTheme="minorHAnsi" w:hAnsiTheme="minorHAnsi" w:cstheme="minorHAnsi"/>
        <w:sz w:val="16"/>
        <w:szCs w:val="16"/>
      </w:rPr>
      <w:fldChar w:fldCharType="end"/>
    </w:r>
    <w:r w:rsidR="001F3AF3" w:rsidRPr="001E5B70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1E5B70">
      <w:rPr>
        <w:rFonts w:asciiTheme="minorHAnsi" w:hAnsiTheme="minorHAnsi" w:cstheme="minorHAnsi"/>
        <w:sz w:val="16"/>
        <w:szCs w:val="16"/>
      </w:rPr>
      <w:t xml:space="preserve">из </w:t>
    </w:r>
    <w:r w:rsidR="001F3AF3" w:rsidRPr="001E5B70">
      <w:rPr>
        <w:rFonts w:asciiTheme="minorHAnsi" w:hAnsiTheme="minorHAnsi" w:cstheme="minorHAnsi"/>
        <w:sz w:val="16"/>
        <w:szCs w:val="16"/>
      </w:rPr>
      <w:fldChar w:fldCharType="begin"/>
    </w:r>
    <w:r w:rsidR="001F3AF3" w:rsidRPr="001E5B70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1E5B70">
      <w:rPr>
        <w:rFonts w:asciiTheme="minorHAnsi" w:hAnsiTheme="minorHAnsi" w:cstheme="minorHAnsi"/>
        <w:sz w:val="16"/>
        <w:szCs w:val="16"/>
      </w:rPr>
      <w:fldChar w:fldCharType="separate"/>
    </w:r>
    <w:r w:rsidR="005818C6">
      <w:rPr>
        <w:rFonts w:asciiTheme="minorHAnsi" w:hAnsiTheme="minorHAnsi" w:cstheme="minorHAnsi"/>
        <w:noProof/>
        <w:sz w:val="16"/>
        <w:szCs w:val="16"/>
      </w:rPr>
      <w:t>2</w:t>
    </w:r>
    <w:r w:rsidR="001F3AF3" w:rsidRPr="001E5B70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1E5B70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  <w:lang w:val="en-US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</w:t>
    </w:r>
    <w:r w:rsidR="001E5B70">
      <w:rPr>
        <w:rFonts w:asciiTheme="minorHAnsi" w:hAnsiTheme="minorHAnsi" w:cstheme="minorHAnsi"/>
        <w:sz w:val="16"/>
        <w:szCs w:val="16"/>
        <w:lang w:val="en-US"/>
      </w:rPr>
      <w:t>07</w:t>
    </w:r>
    <w:r w:rsidR="001E5B70">
      <w:rPr>
        <w:rFonts w:asciiTheme="minorHAnsi" w:hAnsiTheme="minorHAnsi" w:cstheme="minorHAnsi"/>
        <w:sz w:val="16"/>
        <w:szCs w:val="16"/>
      </w:rPr>
      <w:t>/2</w:t>
    </w:r>
    <w:r w:rsidR="001E5B70">
      <w:rPr>
        <w:rFonts w:asciiTheme="minorHAnsi" w:hAnsiTheme="minorHAnsi" w:cstheme="minorHAnsi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D6B5FA3" wp14:editId="2B40CD34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5818C6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D0753" wp14:editId="3EDEE746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E5B70"/>
    <w:rsid w:val="001F3AF3"/>
    <w:rsid w:val="00273D21"/>
    <w:rsid w:val="002B5D0D"/>
    <w:rsid w:val="00325692"/>
    <w:rsid w:val="0036704F"/>
    <w:rsid w:val="0042332A"/>
    <w:rsid w:val="00441757"/>
    <w:rsid w:val="004A2A2A"/>
    <w:rsid w:val="00577B5F"/>
    <w:rsid w:val="005818C6"/>
    <w:rsid w:val="006E04C1"/>
    <w:rsid w:val="006F7193"/>
    <w:rsid w:val="00700EA6"/>
    <w:rsid w:val="0076113B"/>
    <w:rsid w:val="007B2AFB"/>
    <w:rsid w:val="007D322A"/>
    <w:rsid w:val="007F7AFB"/>
    <w:rsid w:val="00884444"/>
    <w:rsid w:val="008C7241"/>
    <w:rsid w:val="00924D78"/>
    <w:rsid w:val="00935E95"/>
    <w:rsid w:val="009E4DE1"/>
    <w:rsid w:val="00A04ECB"/>
    <w:rsid w:val="00A62442"/>
    <w:rsid w:val="00B3161D"/>
    <w:rsid w:val="00B7403C"/>
    <w:rsid w:val="00BE13F5"/>
    <w:rsid w:val="00C762CD"/>
    <w:rsid w:val="00CB0C9C"/>
    <w:rsid w:val="00CF653C"/>
    <w:rsid w:val="00D12C83"/>
    <w:rsid w:val="00D54FD3"/>
    <w:rsid w:val="00DA52FA"/>
    <w:rsid w:val="00DD188A"/>
    <w:rsid w:val="00E57FBA"/>
    <w:rsid w:val="00EA54B3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37A7-237E-40A3-898C-B2D0C603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E6416A</Template>
  <TotalTime>29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3</cp:revision>
  <dcterms:created xsi:type="dcterms:W3CDTF">2023-07-14T20:00:00Z</dcterms:created>
  <dcterms:modified xsi:type="dcterms:W3CDTF">2023-07-14T20:35:00Z</dcterms:modified>
</cp:coreProperties>
</file>